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leads design-build initiatives by directing integrated design and construction teams to achieve operational excellence and client satisfaction. This role is pivotal in overseeing project execution, ensuring measurable KPIs are met, and fostering a culture of innovation and accountability across all teams.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coordinate the work of design and construction teams to ensure project milestones and client expectations are met.</w:t>
      </w:r>
    </w:p>
    <w:p>
      <w:pPr>
        <w:pStyle w:val="ListParagraph"/>
        <w:numPr>
          <w:ilvl w:val="0"/>
          <w:numId w:val="1"/>
        </w:numPr>
        <w:spacing w:after="60" w:line="300"/>
      </w:pPr>
      <w:r>
        <w:rPr>
          <w:rFonts w:ascii="Lexend" w:cs="Arial" w:eastAsia="Arial" w:hAnsi="Lexend"/>
          <w:color w:val="242730"/>
          <w:sz w:val="20"/>
          <w:szCs w:val="20"/>
        </w:rPr>
        <w:t xml:space="preserve">Develop and monitor key performance indicators (KPIs) to drive operational efficiency and profitability.</w:t>
      </w:r>
    </w:p>
    <w:p>
      <w:pPr>
        <w:pStyle w:val="ListParagraph"/>
        <w:numPr>
          <w:ilvl w:val="0"/>
          <w:numId w:val="1"/>
        </w:numPr>
        <w:spacing w:after="60" w:line="300"/>
      </w:pPr>
      <w:r>
        <w:rPr>
          <w:rFonts w:ascii="Lexend" w:cs="Arial" w:eastAsia="Arial" w:hAnsi="Lexend"/>
          <w:color w:val="242730"/>
          <w:sz w:val="20"/>
          <w:szCs w:val="20"/>
        </w:rPr>
        <w:t xml:space="preserve">Provide strategic leadership and create robust processes for optimizing project delivery and resource allocation.</w:t>
      </w:r>
    </w:p>
    <w:p>
      <w:pPr>
        <w:pStyle w:val="ListParagraph"/>
        <w:numPr>
          <w:ilvl w:val="0"/>
          <w:numId w:val="1"/>
        </w:numPr>
        <w:spacing w:after="60" w:line="300"/>
      </w:pPr>
      <w:r>
        <w:rPr>
          <w:rFonts w:ascii="Lexend" w:cs="Arial" w:eastAsia="Arial" w:hAnsi="Lexend"/>
          <w:color w:val="242730"/>
          <w:sz w:val="20"/>
          <w:szCs w:val="20"/>
        </w:rPr>
        <w:t xml:space="preserve">Cultivate strong client relationships by ensuring clear communication and timely resolution of project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design and construction teams to review project progress and address challenges.</w:t>
      </w:r>
    </w:p>
    <w:p>
      <w:pPr>
        <w:pStyle w:val="ListParagraph"/>
        <w:numPr>
          <w:ilvl w:val="0"/>
          <w:numId w:val="1"/>
        </w:numPr>
        <w:spacing w:after="60" w:line="300"/>
      </w:pPr>
      <w:r>
        <w:rPr>
          <w:rFonts w:ascii="Lexend" w:cs="Arial" w:eastAsia="Arial" w:hAnsi="Lexend"/>
          <w:color w:val="242730"/>
          <w:sz w:val="20"/>
          <w:szCs w:val="20"/>
        </w:rPr>
        <w:t xml:space="preserve">Analyze performance data and prepare reports to support decision-making and continuous improvement.</w:t>
      </w:r>
    </w:p>
    <w:p>
      <w:pPr>
        <w:pStyle w:val="ListParagraph"/>
        <w:numPr>
          <w:ilvl w:val="0"/>
          <w:numId w:val="1"/>
        </w:numPr>
        <w:spacing w:after="60" w:line="300"/>
      </w:pPr>
      <w:r>
        <w:rPr>
          <w:rFonts w:ascii="Lexend" w:cs="Arial" w:eastAsia="Arial" w:hAnsi="Lexend"/>
          <w:color w:val="242730"/>
          <w:sz w:val="20"/>
          <w:szCs w:val="20"/>
        </w:rPr>
        <w:t xml:space="preserve">Engage in proactive business prospecting by meeting with potential clients and partners.</w:t>
      </w:r>
    </w:p>
    <w:p>
      <w:pPr>
        <w:pStyle w:val="ListParagraph"/>
        <w:numPr>
          <w:ilvl w:val="0"/>
          <w:numId w:val="1"/>
        </w:numPr>
        <w:spacing w:after="60" w:line="300"/>
      </w:pPr>
      <w:r>
        <w:rPr>
          <w:rFonts w:ascii="Lexend" w:cs="Arial" w:eastAsia="Arial" w:hAnsi="Lexend"/>
          <w:color w:val="242730"/>
          <w:sz w:val="20"/>
          <w:szCs w:val="20"/>
        </w:rPr>
        <w:t xml:space="preserve">Ensure adherence to quality standards and regulatory requirements throughout all project phases.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project: Achieve a minimum of $150,000 per project.</w:t>
      </w:r>
    </w:p>
    <w:p>
      <w:pPr>
        <w:pStyle w:val="ListParagraph"/>
        <w:numPr>
          <w:ilvl w:val="0"/>
          <w:numId w:val="1"/>
        </w:numPr>
        <w:spacing w:after="60" w:line="300"/>
      </w:pPr>
      <w:r>
        <w:rPr>
          <w:rFonts w:ascii="Lexend" w:cs="Arial" w:eastAsia="Arial" w:hAnsi="Lexend"/>
          <w:color w:val="242730"/>
          <w:sz w:val="20"/>
          <w:szCs w:val="20"/>
        </w:rPr>
        <w:t xml:space="preserve">Client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On-Time Project Completion: Ensure at least 95% of projects meet scheduled deadlines.</w:t>
      </w:r>
    </w:p>
    <w:p>
      <w:pPr>
        <w:pStyle w:val="ListParagraph"/>
        <w:numPr>
          <w:ilvl w:val="0"/>
          <w:numId w:val="1"/>
        </w:numPr>
        <w:spacing w:after="60" w:line="300"/>
      </w:pPr>
      <w:r>
        <w:rPr>
          <w:rFonts w:ascii="Lexend" w:cs="Arial" w:eastAsia="Arial" w:hAnsi="Lexend"/>
          <w:color w:val="242730"/>
          <w:sz w:val="20"/>
          <w:szCs w:val="20"/>
        </w:rPr>
        <w:t xml:space="preserve">Gross Margin: Sustain a target gross margin of 30%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progressive leadership experience in design-build projects or similar industries.</w:t>
      </w:r>
    </w:p>
    <w:p>
      <w:pPr>
        <w:pStyle w:val="ListParagraph"/>
        <w:numPr>
          <w:ilvl w:val="0"/>
          <w:numId w:val="1"/>
        </w:numPr>
        <w:spacing w:after="60" w:line="300"/>
      </w:pPr>
      <w:r>
        <w:rPr>
          <w:rFonts w:ascii="Lexend" w:cs="Arial" w:eastAsia="Arial" w:hAnsi="Lexend"/>
          <w:color w:val="242730"/>
          <w:sz w:val="20"/>
          <w:szCs w:val="20"/>
        </w:rPr>
        <w:t xml:space="preserve">Strong analytical skills with experience in KPI monitoring and process optimization.</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managing design-build projects within the home services or construction sector.</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leading multidisciplinary teams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software and ERP systems relevant to design and construction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25 lbs. during on-site inspections or team meetings.</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environments including on construction sites and office settings.</w:t>
      </w:r>
    </w:p>
    <w:p>
      <w:pPr>
        <w:pStyle w:val="ListParagraph"/>
        <w:numPr>
          <w:ilvl w:val="0"/>
          <w:numId w:val="1"/>
        </w:numPr>
        <w:spacing w:after="60" w:line="300"/>
      </w:pPr>
      <w:r>
        <w:rPr>
          <w:rFonts w:ascii="Lexend" w:cs="Arial" w:eastAsia="Arial" w:hAnsi="Lexend"/>
          <w:color w:val="242730"/>
          <w:sz w:val="20"/>
          <w:szCs w:val="20"/>
        </w:rPr>
        <w:t xml:space="preserve">Occasional exposure to outdoor elements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office hours from 8:00 AM to 5:00 PM with occasional extended hours during peak project phases.</w:t>
      </w:r>
    </w:p>
    <w:p>
      <w:pPr>
        <w:pStyle w:val="ListParagraph"/>
        <w:numPr>
          <w:ilvl w:val="0"/>
          <w:numId w:val="1"/>
        </w:numPr>
        <w:spacing w:after="60" w:line="300"/>
      </w:pPr>
      <w:r>
        <w:rPr>
          <w:rFonts w:ascii="Lexend" w:cs="Arial" w:eastAsia="Arial" w:hAnsi="Lexend"/>
          <w:color w:val="242730"/>
          <w:sz w:val="20"/>
          <w:szCs w:val="20"/>
        </w:rPr>
        <w:t xml:space="preserve">Moderate travel required for site visits and client meetings across regions.</w:t>
      </w:r>
    </w:p>
    <w:p>
      <w:pPr>
        <w:pStyle w:val="ListParagraph"/>
        <w:numPr>
          <w:ilvl w:val="0"/>
          <w:numId w:val="1"/>
        </w:numPr>
        <w:spacing w:after="60" w:line="300"/>
      </w:pPr>
      <w:r>
        <w:rPr>
          <w:rFonts w:ascii="Lexend" w:cs="Arial" w:eastAsia="Arial" w:hAnsi="Lexend"/>
          <w:color w:val="242730"/>
          <w:sz w:val="20"/>
          <w:szCs w:val="20"/>
        </w:rPr>
        <w:t xml:space="preserve">On-call responsibilities may be required for urgent client or operational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$110,000 - $140,000 USD per annum,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key milestones and company profitability.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a 401(k) plan along with other fringe benefits as applicable.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innovation, and growth. Our dynamic environment empowers every employee to contribute to high-impact projects and career development opportunities.</w:t>
      </w:r>
    </w:p>
    <w:p>
      <w:pPr>
        <w:pStyle w:val="ListParagraph"/>
        <w:numPr>
          <w:ilvl w:val="0"/>
          <w:numId w:val="1"/>
        </w:numPr>
        <w:spacing w:after="60" w:line="300"/>
      </w:pPr>
      <w:r>
        <w:rPr>
          <w:rFonts w:ascii="Lexend" w:cs="Arial" w:eastAsia="Arial" w:hAnsi="Lexend"/>
          <w:color w:val="242730"/>
          <w:sz w:val="20"/>
          <w:szCs w:val="20"/>
        </w:rPr>
        <w:t xml:space="preserve">We foster an inclusive culture where creativity and collaboration drive success, and where your unique perspective is both valued and essential.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General Manager job description</dc:title>
  <dc:creator>HireBus</dc:creator>
  <dc:description>HireBus Role Blueprint: General Manager job description template for Design-Build Firms.</dc:description>
  <cp:lastModifiedBy>Un-named</cp:lastModifiedBy>
  <cp:revision>1</cp:revision>
  <dcterms:created xsi:type="dcterms:W3CDTF">2026-10-22T21:00:08.733Z</dcterms:created>
  <dcterms:modified xsi:type="dcterms:W3CDTF">2026-10-22T21:00:08.733Z</dcterms:modified>
</cp:coreProperties>
</file>

<file path=docProps/custom.xml><?xml version="1.0" encoding="utf-8"?>
<Properties xmlns="http://schemas.openxmlformats.org/officeDocument/2006/custom-properties" xmlns:vt="http://schemas.openxmlformats.org/officeDocument/2006/docPropsVTypes"/>
</file>