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Commercial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 / 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oversee all financial operations for large commercial electrical projects. Develop and manage budgets, financial planning, and cost controls to drive strategic growth. Provide key financial insights and support decision-making processes at the executive level. Enhance profitability through robust financial analysis and proactive risk management.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financial strategies that align with the company’s commercial electrical project goals.</w:t>
      </w:r>
    </w:p>
    <w:p>
      <w:pPr>
        <w:pStyle w:val="ListParagraph"/>
        <w:numPr>
          <w:ilvl w:val="0"/>
          <w:numId w:val="1"/>
        </w:numPr>
        <w:spacing w:after="60" w:line="300"/>
      </w:pPr>
      <w:r>
        <w:rPr>
          <w:rFonts w:ascii="Lexend" w:cs="Arial" w:eastAsia="Arial" w:hAnsi="Lexend"/>
          <w:color w:val="242730"/>
          <w:sz w:val="20"/>
          <w:szCs w:val="20"/>
        </w:rPr>
        <w:t xml:space="preserve">Direct the budgeting process, ensuring accurate cost controls and timely financial reporting.</w:t>
      </w:r>
    </w:p>
    <w:p>
      <w:pPr>
        <w:pStyle w:val="ListParagraph"/>
        <w:numPr>
          <w:ilvl w:val="0"/>
          <w:numId w:val="1"/>
        </w:numPr>
        <w:spacing w:after="60" w:line="300"/>
      </w:pPr>
      <w:r>
        <w:rPr>
          <w:rFonts w:ascii="Lexend" w:cs="Arial" w:eastAsia="Arial" w:hAnsi="Lexend"/>
          <w:color w:val="242730"/>
          <w:sz w:val="20"/>
          <w:szCs w:val="20"/>
        </w:rPr>
        <w:t xml:space="preserve">Oversee financial planning, forecasting, and analysis to optimize resource allocation.</w:t>
      </w:r>
    </w:p>
    <w:p>
      <w:pPr>
        <w:pStyle w:val="ListParagraph"/>
        <w:numPr>
          <w:ilvl w:val="0"/>
          <w:numId w:val="1"/>
        </w:numPr>
        <w:spacing w:after="60" w:line="300"/>
      </w:pPr>
      <w:r>
        <w:rPr>
          <w:rFonts w:ascii="Lexend" w:cs="Arial" w:eastAsia="Arial" w:hAnsi="Lexend"/>
          <w:color w:val="242730"/>
          <w:sz w:val="20"/>
          <w:szCs w:val="20"/>
        </w:rPr>
        <w:t xml:space="preserve">Monitor project performance against budget and take corrective actions as necessary.</w:t>
      </w:r>
    </w:p>
    <w:p>
      <w:pPr>
        <w:pStyle w:val="ListParagraph"/>
        <w:numPr>
          <w:ilvl w:val="0"/>
          <w:numId w:val="1"/>
        </w:numPr>
        <w:spacing w:after="60" w:line="300"/>
      </w:pPr>
      <w:r>
        <w:rPr>
          <w:rFonts w:ascii="Lexend" w:cs="Arial" w:eastAsia="Arial" w:hAnsi="Lexend"/>
          <w:color w:val="242730"/>
          <w:sz w:val="20"/>
          <w:szCs w:val="20"/>
        </w:rPr>
        <w:t xml:space="preserve">Ensure compliance with financial regulations and internal policies across all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financial reports and variance analysis for large-scale electrical projects.</w:t>
      </w:r>
    </w:p>
    <w:p>
      <w:pPr>
        <w:pStyle w:val="ListParagraph"/>
        <w:numPr>
          <w:ilvl w:val="0"/>
          <w:numId w:val="1"/>
        </w:numPr>
        <w:spacing w:after="60" w:line="300"/>
      </w:pPr>
      <w:r>
        <w:rPr>
          <w:rFonts w:ascii="Lexend" w:cs="Arial" w:eastAsia="Arial" w:hAnsi="Lexend"/>
          <w:color w:val="242730"/>
          <w:sz w:val="20"/>
          <w:szCs w:val="20"/>
        </w:rPr>
        <w:t xml:space="preserve">Meet with project managers and department heads to discuss budget performance and forecast updates.</w:t>
      </w:r>
    </w:p>
    <w:p>
      <w:pPr>
        <w:pStyle w:val="ListParagraph"/>
        <w:numPr>
          <w:ilvl w:val="0"/>
          <w:numId w:val="1"/>
        </w:numPr>
        <w:spacing w:after="60" w:line="300"/>
      </w:pPr>
      <w:r>
        <w:rPr>
          <w:rFonts w:ascii="Lexend" w:cs="Arial" w:eastAsia="Arial" w:hAnsi="Lexend"/>
          <w:color w:val="242730"/>
          <w:sz w:val="20"/>
          <w:szCs w:val="20"/>
        </w:rPr>
        <w:t xml:space="preserve">Oversee the preparation of monthly, quarterly, and annual financial statements.</w:t>
      </w:r>
    </w:p>
    <w:p>
      <w:pPr>
        <w:pStyle w:val="ListParagraph"/>
        <w:numPr>
          <w:ilvl w:val="0"/>
          <w:numId w:val="1"/>
        </w:numPr>
        <w:spacing w:after="60" w:line="300"/>
      </w:pPr>
      <w:r>
        <w:rPr>
          <w:rFonts w:ascii="Lexend" w:cs="Arial" w:eastAsia="Arial" w:hAnsi="Lexend"/>
          <w:color w:val="242730"/>
          <w:sz w:val="20"/>
          <w:szCs w:val="20"/>
        </w:rPr>
        <w:t xml:space="preserve">Collaborate with external auditors and regulatory bodies to ensure compliance.</w:t>
      </w:r>
    </w:p>
    <w:p>
      <w:pPr>
        <w:pStyle w:val="ListParagraph"/>
        <w:numPr>
          <w:ilvl w:val="0"/>
          <w:numId w:val="1"/>
        </w:numPr>
        <w:spacing w:after="60" w:line="300"/>
      </w:pPr>
      <w:r>
        <w:rPr>
          <w:rFonts w:ascii="Lexend" w:cs="Arial" w:eastAsia="Arial" w:hAnsi="Lexend"/>
          <w:color w:val="242730"/>
          <w:sz w:val="20"/>
          <w:szCs w:val="20"/>
        </w:rPr>
        <w:t xml:space="preserve">Lead continuous improvement initiatives to enhance financial efficiency and project cost management.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adherence with variance kept under 3% per project.</w:t>
      </w:r>
    </w:p>
    <w:p>
      <w:pPr>
        <w:pStyle w:val="ListParagraph"/>
        <w:numPr>
          <w:ilvl w:val="0"/>
          <w:numId w:val="1"/>
        </w:numPr>
        <w:spacing w:after="60" w:line="300"/>
      </w:pPr>
      <w:r>
        <w:rPr>
          <w:rFonts w:ascii="Lexend" w:cs="Arial" w:eastAsia="Arial" w:hAnsi="Lexend"/>
          <w:color w:val="242730"/>
          <w:sz w:val="20"/>
          <w:szCs w:val="20"/>
        </w:rPr>
        <w:t xml:space="preserve">Cost reduction initiatives achieving at least a 5% decrease in overall expenses.</w:t>
      </w:r>
    </w:p>
    <w:p>
      <w:pPr>
        <w:pStyle w:val="ListParagraph"/>
        <w:numPr>
          <w:ilvl w:val="0"/>
          <w:numId w:val="1"/>
        </w:numPr>
        <w:spacing w:after="60" w:line="300"/>
      </w:pPr>
      <w:r>
        <w:rPr>
          <w:rFonts w:ascii="Lexend" w:cs="Arial" w:eastAsia="Arial" w:hAnsi="Lexend"/>
          <w:color w:val="242730"/>
          <w:sz w:val="20"/>
          <w:szCs w:val="20"/>
        </w:rPr>
        <w:t xml:space="preserve">Project gross margin maintained above 20%.</w:t>
      </w:r>
    </w:p>
    <w:p>
      <w:pPr>
        <w:pStyle w:val="ListParagraph"/>
        <w:numPr>
          <w:ilvl w:val="0"/>
          <w:numId w:val="1"/>
        </w:numPr>
        <w:spacing w:after="60" w:line="300"/>
      </w:pPr>
      <w:r>
        <w:rPr>
          <w:rFonts w:ascii="Lexend" w:cs="Arial" w:eastAsia="Arial" w:hAnsi="Lexend"/>
          <w:color w:val="242730"/>
          <w:sz w:val="20"/>
          <w:szCs w:val="20"/>
        </w:rPr>
        <w:t xml:space="preserve">Financial reporting accuracy with error rate lower than 1%.</w:t>
      </w:r>
    </w:p>
    <w:p>
      <w:pPr>
        <w:pStyle w:val="ListParagraph"/>
        <w:numPr>
          <w:ilvl w:val="0"/>
          <w:numId w:val="1"/>
        </w:numPr>
        <w:spacing w:after="60" w:line="300"/>
      </w:pPr>
      <w:r>
        <w:rPr>
          <w:rFonts w:ascii="Lexend" w:cs="Arial" w:eastAsia="Arial" w:hAnsi="Lexend"/>
          <w:color w:val="242730"/>
          <w:sz w:val="20"/>
          <w:szCs w:val="20"/>
        </w:rPr>
        <w:t xml:space="preserve">On-time delivery of financial statements with a 100% compliance rate.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 CPA/CFA preferred.</w:t>
      </w:r>
    </w:p>
    <w:p>
      <w:pPr>
        <w:pStyle w:val="ListParagraph"/>
        <w:numPr>
          <w:ilvl w:val="0"/>
          <w:numId w:val="1"/>
        </w:numPr>
        <w:spacing w:after="60" w:line="300"/>
      </w:pPr>
      <w:r>
        <w:rPr>
          <w:rFonts w:ascii="Lexend" w:cs="Arial" w:eastAsia="Arial" w:hAnsi="Lexend"/>
          <w:color w:val="242730"/>
          <w:sz w:val="20"/>
          <w:szCs w:val="20"/>
        </w:rPr>
        <w:t xml:space="preserve">Minimum of 10 years of progressive financial leadership experience.</w:t>
      </w:r>
    </w:p>
    <w:p>
      <w:pPr>
        <w:pStyle w:val="ListParagraph"/>
        <w:numPr>
          <w:ilvl w:val="0"/>
          <w:numId w:val="1"/>
        </w:numPr>
        <w:spacing w:after="60" w:line="300"/>
      </w:pPr>
      <w:r>
        <w:rPr>
          <w:rFonts w:ascii="Lexend" w:cs="Arial" w:eastAsia="Arial" w:hAnsi="Lexend"/>
          <w:color w:val="242730"/>
          <w:sz w:val="20"/>
          <w:szCs w:val="20"/>
        </w:rPr>
        <w:t xml:space="preserve">Strong expertise in budgeting, cost control, and financial planning for large projects.</w:t>
      </w:r>
    </w:p>
    <w:p>
      <w:pPr>
        <w:pStyle w:val="ListParagraph"/>
        <w:numPr>
          <w:ilvl w:val="0"/>
          <w:numId w:val="1"/>
        </w:numPr>
        <w:spacing w:after="60" w:line="300"/>
      </w:pPr>
      <w:r>
        <w:rPr>
          <w:rFonts w:ascii="Lexend" w:cs="Arial" w:eastAsia="Arial" w:hAnsi="Lexend"/>
          <w:color w:val="242730"/>
          <w:sz w:val="20"/>
          <w:szCs w:val="20"/>
        </w:rPr>
        <w:t xml:space="preserve">Excellent analytical, strategic thinking, and communication skills.</w:t>
      </w:r>
    </w:p>
    <w:p>
      <w:pPr>
        <w:pStyle w:val="ListParagraph"/>
        <w:numPr>
          <w:ilvl w:val="0"/>
          <w:numId w:val="1"/>
        </w:numPr>
        <w:spacing w:after="60" w:line="300"/>
      </w:pPr>
      <w:r>
        <w:rPr>
          <w:rFonts w:ascii="Lexend" w:cs="Arial" w:eastAsia="Arial" w:hAnsi="Lexend"/>
          <w:color w:val="242730"/>
          <w:sz w:val="20"/>
          <w:szCs w:val="20"/>
        </w:rPr>
        <w:t xml:space="preserve">Proficient in financial modeling and relevant accounting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Extensive experience in the home services or construction electrical industry.</w:t>
      </w:r>
    </w:p>
    <w:p>
      <w:pPr>
        <w:pStyle w:val="ListParagraph"/>
        <w:numPr>
          <w:ilvl w:val="0"/>
          <w:numId w:val="1"/>
        </w:numPr>
        <w:spacing w:after="60" w:line="300"/>
      </w:pPr>
      <w:r>
        <w:rPr>
          <w:rFonts w:ascii="Lexend" w:cs="Arial" w:eastAsia="Arial" w:hAnsi="Lexend"/>
          <w:color w:val="242730"/>
          <w:sz w:val="20"/>
          <w:szCs w:val="20"/>
        </w:rPr>
        <w:t xml:space="preserve">Proven background in managing finances for large-scale commercial electrical projects.</w:t>
      </w:r>
    </w:p>
    <w:p>
      <w:pPr>
        <w:pStyle w:val="ListParagraph"/>
        <w:numPr>
          <w:ilvl w:val="0"/>
          <w:numId w:val="1"/>
        </w:numPr>
        <w:spacing w:after="60" w:line="300"/>
      </w:pPr>
      <w:r>
        <w:rPr>
          <w:rFonts w:ascii="Lexend" w:cs="Arial" w:eastAsia="Arial" w:hAnsi="Lexend"/>
          <w:color w:val="242730"/>
          <w:sz w:val="20"/>
          <w:szCs w:val="20"/>
        </w:rPr>
        <w:t xml:space="preserve">History of successful strategic financial planning and budgeting in a similar role.</w:t>
      </w:r>
    </w:p>
    <w:p>
      <w:pPr>
        <w:pStyle w:val="ListParagraph"/>
        <w:numPr>
          <w:ilvl w:val="0"/>
          <w:numId w:val="1"/>
        </w:numPr>
        <w:spacing w:after="60" w:line="300"/>
      </w:pPr>
      <w:r>
        <w:rPr>
          <w:rFonts w:ascii="Lexend" w:cs="Arial" w:eastAsia="Arial" w:hAnsi="Lexend"/>
          <w:color w:val="242730"/>
          <w:sz w:val="20"/>
          <w:szCs w:val="20"/>
        </w:rPr>
        <w:t xml:space="preserve">Experience collaborating with cross-functional teams and external stakeholders.</w:t>
      </w:r>
    </w:p>
    <w:p>
      <w:pPr>
        <w:pStyle w:val="ListParagraph"/>
        <w:numPr>
          <w:ilvl w:val="0"/>
          <w:numId w:val="1"/>
        </w:numPr>
        <w:spacing w:after="60" w:line="300"/>
      </w:pPr>
      <w:r>
        <w:rPr>
          <w:rFonts w:ascii="Lexend" w:cs="Arial" w:eastAsia="Arial" w:hAnsi="Lexend"/>
          <w:color w:val="242730"/>
          <w:sz w:val="20"/>
          <w:szCs w:val="20"/>
        </w:rPr>
        <w:t xml:space="preserve">Demonstrated success in implementing cost reduction and financial efficiency initiatives.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review financial materials and reports for extended periods.</w:t>
      </w:r>
    </w:p>
    <w:p>
      <w:pPr>
        <w:pStyle w:val="ListParagraph"/>
        <w:numPr>
          <w:ilvl w:val="0"/>
          <w:numId w:val="1"/>
        </w:numPr>
        <w:spacing w:after="60" w:line="300"/>
      </w:pPr>
      <w:r>
        <w:rPr>
          <w:rFonts w:ascii="Lexend" w:cs="Arial" w:eastAsia="Arial" w:hAnsi="Lexend"/>
          <w:color w:val="242730"/>
          <w:sz w:val="20"/>
          <w:szCs w:val="20"/>
        </w:rPr>
        <w:t xml:space="preserve">Occasional travel to project sites and related locations.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beyond regular office duties.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office-based role with a typical 40-hour work week.</w:t>
      </w:r>
    </w:p>
    <w:p>
      <w:pPr>
        <w:pStyle w:val="ListParagraph"/>
        <w:numPr>
          <w:ilvl w:val="0"/>
          <w:numId w:val="1"/>
        </w:numPr>
        <w:spacing w:after="60" w:line="300"/>
      </w:pPr>
      <w:r>
        <w:rPr>
          <w:rFonts w:ascii="Lexend" w:cs="Arial" w:eastAsia="Arial" w:hAnsi="Lexend"/>
          <w:color w:val="242730"/>
          <w:sz w:val="20"/>
          <w:szCs w:val="20"/>
        </w:rPr>
        <w:t xml:space="preserve">Occasional extended hours during budgeting cycles or financial close periods.</w:t>
      </w:r>
    </w:p>
    <w:p>
      <w:pPr>
        <w:pStyle w:val="ListParagraph"/>
        <w:numPr>
          <w:ilvl w:val="0"/>
          <w:numId w:val="1"/>
        </w:numPr>
        <w:spacing w:after="60" w:line="300"/>
      </w:pPr>
      <w:r>
        <w:rPr>
          <w:rFonts w:ascii="Lexend" w:cs="Arial" w:eastAsia="Arial" w:hAnsi="Lexend"/>
          <w:color w:val="242730"/>
          <w:sz w:val="20"/>
          <w:szCs w:val="20"/>
        </w:rPr>
        <w:t xml:space="preserve">Some travel may be required for meetings with project teams and vendors.</w:t>
      </w:r>
    </w:p>
    <w:p>
      <w:pPr>
        <w:pStyle w:val="ListParagraph"/>
        <w:numPr>
          <w:ilvl w:val="0"/>
          <w:numId w:val="1"/>
        </w:numPr>
        <w:spacing w:after="60" w:line="300"/>
      </w:pPr>
      <w:r>
        <w:rPr>
          <w:rFonts w:ascii="Lexend" w:cs="Arial" w:eastAsia="Arial" w:hAnsi="Lexend"/>
          <w:color w:val="242730"/>
          <w:sz w:val="20"/>
          <w:szCs w:val="20"/>
        </w:rPr>
        <w:t xml:space="preserve">On-call availability during critical financial reporting periods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$150,000 - $200,000 USD,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profit-sharing schemes.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innovative environment where each team member’s contributions drive success.</w:t>
      </w:r>
    </w:p>
    <w:p>
      <w:pPr>
        <w:pStyle w:val="ListParagraph"/>
        <w:numPr>
          <w:ilvl w:val="0"/>
          <w:numId w:val="1"/>
        </w:numPr>
        <w:spacing w:after="60" w:line="300"/>
      </w:pPr>
      <w:r>
        <w:rPr>
          <w:rFonts w:ascii="Lexend" w:cs="Arial" w:eastAsia="Arial" w:hAnsi="Lexend"/>
          <w:color w:val="242730"/>
          <w:sz w:val="20"/>
          <w:szCs w:val="20"/>
        </w:rPr>
        <w:t xml:space="preserve">Our culture emphasizes continuous learning, growth, and excellence in customer satisfaction.</w:t>
      </w:r>
    </w:p>
    <w:p>
      <w:pPr>
        <w:pStyle w:val="ListParagraph"/>
        <w:numPr>
          <w:ilvl w:val="0"/>
          <w:numId w:val="1"/>
        </w:numPr>
        <w:spacing w:after="60" w:line="300"/>
      </w:pPr>
      <w:r>
        <w:rPr>
          <w:rFonts w:ascii="Lexend" w:cs="Arial" w:eastAsia="Arial" w:hAnsi="Lexend"/>
          <w:color w:val="242730"/>
          <w:sz w:val="20"/>
          <w:szCs w:val="20"/>
        </w:rPr>
        <w:t xml:space="preserve">We pride ourselves on transparency, inclusivity, and strong leadership at all organizational levels.</w:t>
      </w:r>
    </w:p>
    <w:p>
      <w:pPr>
        <w:pStyle w:val="ListParagraph"/>
        <w:numPr>
          <w:ilvl w:val="0"/>
          <w:numId w:val="1"/>
        </w:numPr>
        <w:spacing w:after="60" w:line="300"/>
      </w:pPr>
      <w:r>
        <w:rPr>
          <w:rFonts w:ascii="Lexend" w:cs="Arial" w:eastAsia="Arial" w:hAnsi="Lexend"/>
          <w:color w:val="242730"/>
          <w:sz w:val="20"/>
          <w:szCs w:val="20"/>
        </w:rPr>
        <w:t xml:space="preserve">Join a forward-thinking company committed to nurturing talent and achieving shared milestones.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hirebus.com/job-descriptions/electrical-commercial/chief-financial-officer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 Commercial Chief Financial Officer job description</dc:title>
  <dc:creator>HireBus</dc:creator>
  <dc:description>HireBus Role Blueprint: Chief Financial Officer job description template for Electrical - Commercial.</dc:description>
  <cp:lastModifiedBy>Un-named</cp:lastModifiedBy>
  <cp:revision>1</cp:revision>
  <dcterms:created xsi:type="dcterms:W3CDTF">2026-10-22T21:00:26.823Z</dcterms:created>
  <dcterms:modified xsi:type="dcterms:W3CDTF">2026-10-22T21:00:26.823Z</dcterms:modified>
</cp:coreProperties>
</file>

<file path=docProps/custom.xml><?xml version="1.0" encoding="utf-8"?>
<Properties xmlns="http://schemas.openxmlformats.org/officeDocument/2006/custom-properties" xmlns:vt="http://schemas.openxmlformats.org/officeDocument/2006/docPropsVTypes"/>
</file>