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Intake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Intake Coordinator to turn new referrals into admitted patients and clients. You'll take referrals from hospitals, physicians, and families, collect the documents and insurance details we need, check eligibility and authorizations, and hand complete cases to the clinical team in time for a prompt start of care.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Take referrals by phone, fax, and referral portals from hospitals, skilled nursing facilities, physician offices, senior living communities, and families.</w:t>
      </w:r>
    </w:p>
    <w:p>
      <w:pPr>
        <w:pStyle w:val="ListParagraph"/>
        <w:numPr>
          <w:ilvl w:val="0"/>
          <w:numId w:val="1"/>
        </w:numPr>
        <w:spacing w:after="60" w:line="300"/>
      </w:pPr>
      <w:r>
        <w:rPr>
          <w:rFonts w:ascii="Lexend" w:cs="Arial" w:eastAsia="Arial" w:hAnsi="Lexend"/>
          <w:color w:val="242730"/>
          <w:sz w:val="20"/>
          <w:szCs w:val="20"/>
        </w:rPr>
        <w:t xml:space="preserve">Collect referral documents: orders, face-to-face encounter notes, history and physical, medication list, and insurance information.</w:t>
      </w:r>
    </w:p>
    <w:p>
      <w:pPr>
        <w:pStyle w:val="ListParagraph"/>
        <w:numPr>
          <w:ilvl w:val="0"/>
          <w:numId w:val="1"/>
        </w:numPr>
        <w:spacing w:after="60" w:line="300"/>
      </w:pPr>
      <w:r>
        <w:rPr>
          <w:rFonts w:ascii="Lexend" w:cs="Arial" w:eastAsia="Arial" w:hAnsi="Lexend"/>
          <w:color w:val="242730"/>
          <w:sz w:val="20"/>
          <w:szCs w:val="20"/>
        </w:rPr>
        <w:t xml:space="preserve">Verify eligibility and benefits for Medicare, Medicare Advantage, Medicaid, and commercial plans, and check for an open home health period with another agency.</w:t>
      </w:r>
    </w:p>
    <w:p>
      <w:pPr>
        <w:pStyle w:val="ListParagraph"/>
        <w:numPr>
          <w:ilvl w:val="0"/>
          <w:numId w:val="1"/>
        </w:numPr>
        <w:spacing w:after="60" w:line="300"/>
      </w:pPr>
      <w:r>
        <w:rPr>
          <w:rFonts w:ascii="Lexend" w:cs="Arial" w:eastAsia="Arial" w:hAnsi="Lexend"/>
          <w:color w:val="242730"/>
          <w:sz w:val="20"/>
          <w:szCs w:val="20"/>
        </w:rPr>
        <w:t xml:space="preserve">Get prior authorizations where the payer requires them, and track authorized visits or hours.</w:t>
      </w:r>
    </w:p>
    <w:p>
      <w:pPr>
        <w:pStyle w:val="ListParagraph"/>
        <w:numPr>
          <w:ilvl w:val="0"/>
          <w:numId w:val="1"/>
        </w:numPr>
        <w:spacing w:after="60" w:line="300"/>
      </w:pPr>
      <w:r>
        <w:rPr>
          <w:rFonts w:ascii="Lexend" w:cs="Arial" w:eastAsia="Arial" w:hAnsi="Lexend"/>
          <w:color w:val="242730"/>
          <w:sz w:val="20"/>
          <w:szCs w:val="20"/>
        </w:rPr>
        <w:t xml:space="preserve">Explain private-pay rates and long-term care insurance steps to families, such as the elimination period and claim forms.</w:t>
      </w:r>
    </w:p>
    <w:p>
      <w:pPr>
        <w:pStyle w:val="ListParagraph"/>
        <w:numPr>
          <w:ilvl w:val="0"/>
          <w:numId w:val="1"/>
        </w:numPr>
        <w:spacing w:after="60" w:line="300"/>
      </w:pPr>
      <w:r>
        <w:rPr>
          <w:rFonts w:ascii="Lexend" w:cs="Arial" w:eastAsia="Arial" w:hAnsi="Lexend"/>
          <w:color w:val="242730"/>
          <w:sz w:val="20"/>
          <w:szCs w:val="20"/>
        </w:rPr>
        <w:t xml:space="preserve">Send each referral to the Director of Nursing to confirm we can meet the patient's needs, and tell the referral source quickly if we can't.</w:t>
      </w:r>
    </w:p>
    <w:p>
      <w:pPr>
        <w:pStyle w:val="ListParagraph"/>
        <w:numPr>
          <w:ilvl w:val="0"/>
          <w:numId w:val="1"/>
        </w:numPr>
        <w:spacing w:after="60" w:line="300"/>
      </w:pPr>
      <w:r>
        <w:rPr>
          <w:rFonts w:ascii="Lexend" w:cs="Arial" w:eastAsia="Arial" w:hAnsi="Lexend"/>
          <w:color w:val="242730"/>
          <w:sz w:val="20"/>
          <w:szCs w:val="20"/>
        </w:rPr>
        <w:t xml:space="preserve">Track referrals, admissions, and the reasons referrals didn't start.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referral queue first thing and call referral sources back.</w:t>
      </w:r>
    </w:p>
    <w:p>
      <w:pPr>
        <w:pStyle w:val="ListParagraph"/>
        <w:numPr>
          <w:ilvl w:val="0"/>
          <w:numId w:val="1"/>
        </w:numPr>
        <w:spacing w:after="60" w:line="300"/>
      </w:pPr>
      <w:r>
        <w:rPr>
          <w:rFonts w:ascii="Lexend" w:cs="Arial" w:eastAsia="Arial" w:hAnsi="Lexend"/>
          <w:color w:val="242730"/>
          <w:sz w:val="20"/>
          <w:szCs w:val="20"/>
        </w:rPr>
        <w:t xml:space="preserve">Run eligibility checks and request missing documents from hospitals and physician offices.</w:t>
      </w:r>
    </w:p>
    <w:p>
      <w:pPr>
        <w:pStyle w:val="ListParagraph"/>
        <w:numPr>
          <w:ilvl w:val="0"/>
          <w:numId w:val="1"/>
        </w:numPr>
        <w:spacing w:after="60" w:line="300"/>
      </w:pPr>
      <w:r>
        <w:rPr>
          <w:rFonts w:ascii="Lexend" w:cs="Arial" w:eastAsia="Arial" w:hAnsi="Lexend"/>
          <w:color w:val="242730"/>
          <w:sz w:val="20"/>
          <w:szCs w:val="20"/>
        </w:rPr>
        <w:t xml:space="preserve">Create new patient and client records in </w:t>
      </w:r>
      <w:r>
        <w:rPr>
          <w:rFonts w:ascii="Lexend" w:cs="Arial" w:eastAsia="Arial" w:hAnsi="Lexend"/>
          <w:color w:val="242730"/>
          <w:sz w:val="20"/>
          <w:szCs w:val="20"/>
          <w:highlight w:val="yellow"/>
        </w:rPr>
        <w:t xml:space="preserve">[your EMR or home care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Hand ready cases to the Scheduler for start of care.</w:t>
      </w:r>
    </w:p>
    <w:p>
      <w:pPr>
        <w:pStyle w:val="ListParagraph"/>
        <w:numPr>
          <w:ilvl w:val="0"/>
          <w:numId w:val="1"/>
        </w:numPr>
        <w:spacing w:after="60" w:line="300"/>
      </w:pPr>
      <w:r>
        <w:rPr>
          <w:rFonts w:ascii="Lexend" w:cs="Arial" w:eastAsia="Arial" w:hAnsi="Lexend"/>
          <w:color w:val="242730"/>
          <w:sz w:val="20"/>
          <w:szCs w:val="20"/>
        </w:rPr>
        <w:t xml:space="preserve">Follow up on referrals waiting on authorization or paperwork.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Referral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Referrals admitted: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from referral to start of care: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Admissions with complete insurance verification: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Claims denied for eligibility or authorization: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some college or medical office training is a plus.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intake, patient registration, insurance verification, or medical office experience.</w:t>
      </w:r>
    </w:p>
    <w:p>
      <w:pPr>
        <w:pStyle w:val="ListParagraph"/>
        <w:numPr>
          <w:ilvl w:val="0"/>
          <w:numId w:val="1"/>
        </w:numPr>
        <w:spacing w:after="60" w:line="300"/>
      </w:pPr>
      <w:r>
        <w:rPr>
          <w:rFonts w:ascii="Lexend" w:cs="Arial" w:eastAsia="Arial" w:hAnsi="Lexend"/>
          <w:color w:val="242730"/>
          <w:sz w:val="20"/>
          <w:szCs w:val="20"/>
        </w:rPr>
        <w:t xml:space="preserve">Knows the differences between Medicare, Medicare Advantage, Medicaid, and commercial insurance.</w:t>
      </w:r>
    </w:p>
    <w:p>
      <w:pPr>
        <w:pStyle w:val="ListParagraph"/>
        <w:numPr>
          <w:ilvl w:val="0"/>
          <w:numId w:val="1"/>
        </w:numPr>
        <w:spacing w:after="60" w:line="300"/>
      </w:pPr>
      <w:r>
        <w:rPr>
          <w:rFonts w:ascii="Lexend" w:cs="Arial" w:eastAsia="Arial" w:hAnsi="Lexend"/>
          <w:color w:val="242730"/>
          <w:sz w:val="20"/>
          <w:szCs w:val="20"/>
        </w:rPr>
        <w:t xml:space="preserve">Clear and courteous on the phone with discharge planners and worried families.</w:t>
      </w:r>
    </w:p>
    <w:p>
      <w:pPr>
        <w:pStyle w:val="ListParagraph"/>
        <w:numPr>
          <w:ilvl w:val="0"/>
          <w:numId w:val="1"/>
        </w:numPr>
        <w:spacing w:after="60" w:line="300"/>
      </w:pPr>
      <w:r>
        <w:rPr>
          <w:rFonts w:ascii="Lexend" w:cs="Arial" w:eastAsia="Arial" w:hAnsi="Lexend"/>
          <w:color w:val="242730"/>
          <w:sz w:val="20"/>
          <w:szCs w:val="20"/>
        </w:rPr>
        <w:t xml:space="preserve">Handles protected health information under HIPAA.</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Home health or hospice intake experience.</w:t>
      </w:r>
    </w:p>
    <w:p>
      <w:pPr>
        <w:pStyle w:val="ListParagraph"/>
        <w:numPr>
          <w:ilvl w:val="0"/>
          <w:numId w:val="1"/>
        </w:numPr>
        <w:spacing w:after="60" w:line="300"/>
      </w:pPr>
      <w:r>
        <w:rPr>
          <w:rFonts w:ascii="Lexend" w:cs="Arial" w:eastAsia="Arial" w:hAnsi="Lexend"/>
          <w:color w:val="242730"/>
          <w:sz w:val="20"/>
          <w:szCs w:val="20"/>
        </w:rPr>
        <w:t xml:space="preserve">Knows Medicare home health eligibility basics, including homebound status and the face-to-face encounter.</w:t>
      </w:r>
    </w:p>
    <w:p>
      <w:pPr>
        <w:pStyle w:val="ListParagraph"/>
        <w:numPr>
          <w:ilvl w:val="0"/>
          <w:numId w:val="1"/>
        </w:numPr>
        <w:spacing w:after="60" w:line="300"/>
      </w:pPr>
      <w:r>
        <w:rPr>
          <w:rFonts w:ascii="Lexend" w:cs="Arial" w:eastAsia="Arial" w:hAnsi="Lexend"/>
          <w:color w:val="242730"/>
          <w:sz w:val="20"/>
          <w:szCs w:val="20"/>
        </w:rPr>
        <w:t xml:space="preserve">Experience with Medicaid waiver and long-term care insurance cases.</w:t>
      </w:r>
    </w:p>
    <w:p>
      <w:pPr>
        <w:pStyle w:val="ListParagraph"/>
        <w:numPr>
          <w:ilvl w:val="0"/>
          <w:numId w:val="1"/>
        </w:numPr>
        <w:spacing w:after="60" w:line="300"/>
      </w:pPr>
      <w:r>
        <w:rPr>
          <w:rFonts w:ascii="Lexend" w:cs="Arial" w:eastAsia="Arial" w:hAnsi="Lexend"/>
          <w:color w:val="242730"/>
          <w:sz w:val="20"/>
          <w:szCs w:val="20"/>
        </w:rPr>
        <w:t xml:space="preserve">Has used </w:t>
      </w:r>
      <w:r>
        <w:rPr>
          <w:rFonts w:ascii="Lexend" w:cs="Arial" w:eastAsia="Arial" w:hAnsi="Lexend"/>
          <w:color w:val="242730"/>
          <w:sz w:val="20"/>
          <w:szCs w:val="20"/>
          <w:highlight w:val="yellow"/>
        </w:rPr>
        <w:t xml:space="preserve">[your EMR]</w:t>
      </w:r>
      <w:r>
        <w:rPr>
          <w:rFonts w:ascii="Lexend" w:cs="Arial" w:eastAsia="Arial" w:hAnsi="Lexend"/>
          <w:color w:val="242730"/>
          <w:sz w:val="20"/>
          <w:szCs w:val="20"/>
        </w:rPr>
        <w:t xml:space="preserve"> or hospital referral portals such as </w:t>
      </w:r>
      <w:r>
        <w:rPr>
          <w:rFonts w:ascii="Lexend" w:cs="Arial" w:eastAsia="Arial" w:hAnsi="Lexend"/>
          <w:color w:val="242730"/>
          <w:sz w:val="20"/>
          <w:szCs w:val="20"/>
          <w:highlight w:val="yellow"/>
        </w:rPr>
        <w:t xml:space="preserve">[your portal]</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computer with a headset for long periods.</w:t>
      </w:r>
    </w:p>
    <w:p>
      <w:pPr>
        <w:pStyle w:val="ListParagraph"/>
        <w:numPr>
          <w:ilvl w:val="0"/>
          <w:numId w:val="1"/>
        </w:numPr>
        <w:spacing w:after="60" w:line="300"/>
      </w:pPr>
      <w:r>
        <w:rPr>
          <w:rFonts w:ascii="Lexend" w:cs="Arial" w:eastAsia="Arial" w:hAnsi="Lexend"/>
          <w:color w:val="242730"/>
          <w:sz w:val="20"/>
          <w:szCs w:val="20"/>
        </w:rPr>
        <w:t xml:space="preserve">Occasionally carrying paper and supplies up to </w:t>
      </w:r>
      <w:r>
        <w:rPr>
          <w:rFonts w:ascii="Lexend" w:cs="Arial" w:eastAsia="Arial" w:hAnsi="Lexend"/>
          <w:color w:val="242730"/>
          <w:sz w:val="20"/>
          <w:szCs w:val="20"/>
          <w:highlight w:val="yellow"/>
        </w:rPr>
        <w:t xml:space="preserve">[15]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[branch city]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coverage until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 for late hospital discharges.</w:t>
      </w:r>
    </w:p>
    <w:p>
      <w:pPr>
        <w:pStyle w:val="ListParagraph"/>
        <w:numPr>
          <w:ilvl w:val="0"/>
          <w:numId w:val="1"/>
        </w:numPr>
        <w:spacing w:after="60" w:line="300"/>
      </w:pPr>
      <w:r>
        <w:rPr>
          <w:rFonts w:ascii="Lexend" w:cs="Arial" w:eastAsia="Arial" w:hAnsi="Lexend"/>
          <w:color w:val="242730"/>
          <w:sz w:val="20"/>
          <w:szCs w:val="20"/>
        </w:rPr>
        <w:t xml:space="preserve">Rotating weekend referral coverage: </w:t>
      </w:r>
      <w:r>
        <w:rPr>
          <w:rFonts w:ascii="Lexend" w:cs="Arial" w:eastAsia="Arial" w:hAnsi="Lexend"/>
          <w:color w:val="242730"/>
          <w:sz w:val="20"/>
          <w:szCs w:val="20"/>
          <w:highlight w:val="yellow"/>
        </w:rPr>
        <w:t xml:space="preserve">[your rotation]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intake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hirebus.com/job-descriptions/home-healthcare/intake-coordinator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Intake Coordinator job description</dc:title>
  <dc:creator>HireBus</dc:creator>
  <dc:description>HireBus Role Blueprint: Intake Coordinator job description template for Home Healthcare.</dc:description>
  <cp:lastModifiedBy>Un-named</cp:lastModifiedBy>
  <cp:revision>1</cp:revision>
  <dcterms:created xsi:type="dcterms:W3CDTF">2026-10-20T17:06:52.124Z</dcterms:created>
  <dcterms:modified xsi:type="dcterms:W3CDTF">2026-10-20T17:06:52.124Z</dcterms:modified>
</cp:coreProperties>
</file>

<file path=docProps/custom.xml><?xml version="1.0" encoding="utf-8"?>
<Properties xmlns="http://schemas.openxmlformats.org/officeDocument/2006/custom-properties" xmlns:vt="http://schemas.openxmlformats.org/officeDocument/2006/docPropsVTypes"/>
</file>