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Revenue Cycle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Business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Business 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revenue cycle specialist to get our hospital paid correctly for the care it gives. You'll submit and follow up on claims, work denials and appeals, post payments, and answer patient billing questions. Medicare, Medicaid, Medicare Advantage and commercial plans each have their own rules for a critical access hospital, and you'll learn them well.</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Submit clean institutional and professional claims through </w:t>
      </w:r>
      <w:r>
        <w:rPr>
          <w:rFonts w:ascii="Lexend" w:cs="Arial" w:eastAsia="Arial" w:hAnsi="Lexend"/>
          <w:color w:val="242730"/>
          <w:sz w:val="20"/>
          <w:szCs w:val="20"/>
          <w:highlight w:val="yellow"/>
        </w:rPr>
        <w:t xml:space="preserve">[your clearinghouse]</w:t>
      </w:r>
      <w:r>
        <w:rPr>
          <w:rFonts w:ascii="Lexend" w:cs="Arial" w:eastAsia="Arial" w:hAnsi="Lexend"/>
          <w:color w:val="242730"/>
          <w:sz w:val="20"/>
          <w:szCs w:val="20"/>
        </w:rPr>
        <w:t xml:space="preserve">, and fix edits before they reach the payer.</w:t>
      </w:r>
    </w:p>
    <w:p>
      <w:pPr>
        <w:pStyle w:val="ListParagraph"/>
        <w:numPr>
          <w:ilvl w:val="0"/>
          <w:numId w:val="1"/>
        </w:numPr>
        <w:spacing w:after="60" w:line="300"/>
      </w:pPr>
      <w:r>
        <w:rPr>
          <w:rFonts w:ascii="Lexend" w:cs="Arial" w:eastAsia="Arial" w:hAnsi="Lexend"/>
          <w:color w:val="242730"/>
          <w:sz w:val="20"/>
          <w:szCs w:val="20"/>
        </w:rPr>
        <w:t xml:space="preserve">Follow up on unpaid claims by payer and age, and resolve them before timely filing limits pass.</w:t>
      </w:r>
    </w:p>
    <w:p>
      <w:pPr>
        <w:pStyle w:val="ListParagraph"/>
        <w:numPr>
          <w:ilvl w:val="0"/>
          <w:numId w:val="1"/>
        </w:numPr>
        <w:spacing w:after="60" w:line="300"/>
      </w:pPr>
      <w:r>
        <w:rPr>
          <w:rFonts w:ascii="Lexend" w:cs="Arial" w:eastAsia="Arial" w:hAnsi="Lexend"/>
          <w:color w:val="242730"/>
          <w:sz w:val="20"/>
          <w:szCs w:val="20"/>
        </w:rPr>
        <w:t xml:space="preserve">Work denials by root cause, write appeals, and send trends to patient access, coding or the department involved.</w:t>
      </w:r>
    </w:p>
    <w:p>
      <w:pPr>
        <w:pStyle w:val="ListParagraph"/>
        <w:numPr>
          <w:ilvl w:val="0"/>
          <w:numId w:val="1"/>
        </w:numPr>
        <w:spacing w:after="60" w:line="300"/>
      </w:pPr>
      <w:r>
        <w:rPr>
          <w:rFonts w:ascii="Lexend" w:cs="Arial" w:eastAsia="Arial" w:hAnsi="Lexend"/>
          <w:color w:val="242730"/>
          <w:sz w:val="20"/>
          <w:szCs w:val="20"/>
        </w:rPr>
        <w:t xml:space="preserve">Post insurance and patient payments and adjustments, and reconcile deposits with finance.</w:t>
      </w:r>
    </w:p>
    <w:p>
      <w:pPr>
        <w:pStyle w:val="ListParagraph"/>
        <w:numPr>
          <w:ilvl w:val="0"/>
          <w:numId w:val="1"/>
        </w:numPr>
        <w:spacing w:after="60" w:line="300"/>
      </w:pPr>
      <w:r>
        <w:rPr>
          <w:rFonts w:ascii="Lexend" w:cs="Arial" w:eastAsia="Arial" w:hAnsi="Lexend"/>
          <w:color w:val="242730"/>
          <w:sz w:val="20"/>
          <w:szCs w:val="20"/>
        </w:rPr>
        <w:t xml:space="preserve">Bill swing bed, observation, ED and outpatient services under critical access hospital rules.</w:t>
      </w:r>
    </w:p>
    <w:p>
      <w:pPr>
        <w:pStyle w:val="ListParagraph"/>
        <w:numPr>
          <w:ilvl w:val="0"/>
          <w:numId w:val="1"/>
        </w:numPr>
        <w:spacing w:after="60" w:line="300"/>
      </w:pPr>
      <w:r>
        <w:rPr>
          <w:rFonts w:ascii="Lexend" w:cs="Arial" w:eastAsia="Arial" w:hAnsi="Lexend"/>
          <w:color w:val="242730"/>
          <w:sz w:val="20"/>
          <w:szCs w:val="20"/>
        </w:rPr>
        <w:t xml:space="preserve">Answer patient billing calls, set up payment plans, and screen for financial assistance under your policy.</w:t>
      </w:r>
    </w:p>
    <w:p>
      <w:pPr>
        <w:pStyle w:val="ListParagraph"/>
        <w:numPr>
          <w:ilvl w:val="0"/>
          <w:numId w:val="1"/>
        </w:numPr>
        <w:spacing w:after="60" w:line="300"/>
      </w:pPr>
      <w:r>
        <w:rPr>
          <w:rFonts w:ascii="Lexend" w:cs="Arial" w:eastAsia="Arial" w:hAnsi="Lexend"/>
          <w:color w:val="242730"/>
          <w:sz w:val="20"/>
          <w:szCs w:val="20"/>
        </w:rPr>
        <w:t xml:space="preserve">Work credit balances and refunds, including Medicare credit balance reporting.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Work the claim edit queue and release clean claims.</w:t>
      </w:r>
    </w:p>
    <w:p>
      <w:pPr>
        <w:pStyle w:val="ListParagraph"/>
        <w:numPr>
          <w:ilvl w:val="0"/>
          <w:numId w:val="1"/>
        </w:numPr>
        <w:spacing w:after="60" w:line="300"/>
      </w:pPr>
      <w:r>
        <w:rPr>
          <w:rFonts w:ascii="Lexend" w:cs="Arial" w:eastAsia="Arial" w:hAnsi="Lexend"/>
          <w:color w:val="242730"/>
          <w:sz w:val="20"/>
          <w:szCs w:val="20"/>
        </w:rPr>
        <w:t xml:space="preserve">Check claim status by phone or portal, and correct and resubmit claims.</w:t>
      </w:r>
    </w:p>
    <w:p>
      <w:pPr>
        <w:pStyle w:val="ListParagraph"/>
        <w:numPr>
          <w:ilvl w:val="0"/>
          <w:numId w:val="1"/>
        </w:numPr>
        <w:spacing w:after="60" w:line="300"/>
      </w:pPr>
      <w:r>
        <w:rPr>
          <w:rFonts w:ascii="Lexend" w:cs="Arial" w:eastAsia="Arial" w:hAnsi="Lexend"/>
          <w:color w:val="242730"/>
          <w:sz w:val="20"/>
          <w:szCs w:val="20"/>
        </w:rPr>
        <w:t xml:space="preserve">Post electronic remittances and work zero-pay and partial-pay lines.</w:t>
      </w:r>
    </w:p>
    <w:p>
      <w:pPr>
        <w:pStyle w:val="ListParagraph"/>
        <w:numPr>
          <w:ilvl w:val="0"/>
          <w:numId w:val="1"/>
        </w:numPr>
        <w:spacing w:after="60" w:line="300"/>
      </w:pPr>
      <w:r>
        <w:rPr>
          <w:rFonts w:ascii="Lexend" w:cs="Arial" w:eastAsia="Arial" w:hAnsi="Lexend"/>
          <w:color w:val="242730"/>
          <w:sz w:val="20"/>
          <w:szCs w:val="20"/>
        </w:rPr>
        <w:t xml:space="preserve">Write appeal letters with records and authorizations attached.</w:t>
      </w:r>
    </w:p>
    <w:p>
      <w:pPr>
        <w:pStyle w:val="ListParagraph"/>
        <w:numPr>
          <w:ilvl w:val="0"/>
          <w:numId w:val="1"/>
        </w:numPr>
        <w:spacing w:after="60" w:line="300"/>
      </w:pPr>
      <w:r>
        <w:rPr>
          <w:rFonts w:ascii="Lexend" w:cs="Arial" w:eastAsia="Arial" w:hAnsi="Lexend"/>
          <w:color w:val="242730"/>
          <w:sz w:val="20"/>
          <w:szCs w:val="20"/>
        </w:rPr>
        <w:t xml:space="preserve">Note every account action in </w:t>
      </w:r>
      <w:r>
        <w:rPr>
          <w:rFonts w:ascii="Lexend" w:cs="Arial" w:eastAsia="Arial" w:hAnsi="Lexend"/>
          <w:color w:val="242730"/>
          <w:sz w:val="20"/>
          <w:szCs w:val="20"/>
          <w:highlight w:val="yellow"/>
        </w:rPr>
        <w:t xml:space="preserve">[your billing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Clean claim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Initial denial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Denials overturned on appeal: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Aged accounts receivable: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Timely filing write-offs: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an associate degree in business or health information is a plus.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hospital or medical billing and collections experience.</w:t>
      </w:r>
    </w:p>
    <w:p>
      <w:pPr>
        <w:pStyle w:val="ListParagraph"/>
        <w:numPr>
          <w:ilvl w:val="0"/>
          <w:numId w:val="1"/>
        </w:numPr>
        <w:spacing w:after="60" w:line="300"/>
      </w:pPr>
      <w:r>
        <w:rPr>
          <w:rFonts w:ascii="Lexend" w:cs="Arial" w:eastAsia="Arial" w:hAnsi="Lexend"/>
          <w:color w:val="242730"/>
          <w:sz w:val="20"/>
          <w:szCs w:val="20"/>
        </w:rPr>
        <w:t xml:space="preserve">Working knowledge of Medicare, Medicaid and commercial payer rules, remittance codes and appeals.</w:t>
      </w:r>
    </w:p>
    <w:p>
      <w:pPr>
        <w:pStyle w:val="ListParagraph"/>
        <w:numPr>
          <w:ilvl w:val="0"/>
          <w:numId w:val="1"/>
        </w:numPr>
        <w:spacing w:after="60" w:line="300"/>
      </w:pPr>
      <w:r>
        <w:rPr>
          <w:rFonts w:ascii="Lexend" w:cs="Arial" w:eastAsia="Arial" w:hAnsi="Lexend"/>
          <w:color w:val="242730"/>
          <w:sz w:val="20"/>
          <w:szCs w:val="20"/>
        </w:rPr>
        <w:t xml:space="preserve">Experience with a clearinghouse and payer portals.</w:t>
      </w:r>
    </w:p>
    <w:p>
      <w:pPr>
        <w:pStyle w:val="ListParagraph"/>
        <w:numPr>
          <w:ilvl w:val="0"/>
          <w:numId w:val="1"/>
        </w:numPr>
        <w:spacing w:after="60" w:line="300"/>
      </w:pPr>
      <w:r>
        <w:rPr>
          <w:rFonts w:ascii="Lexend" w:cs="Arial" w:eastAsia="Arial" w:hAnsi="Lexend"/>
          <w:color w:val="242730"/>
          <w:sz w:val="20"/>
          <w:szCs w:val="20"/>
        </w:rPr>
        <w:t xml:space="preserve">Patient, clear phone manner and accurate account notes.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critical access hospital billing, including Method II and swing bed claims.</w:t>
      </w:r>
    </w:p>
    <w:p>
      <w:pPr>
        <w:pStyle w:val="ListParagraph"/>
        <w:numPr>
          <w:ilvl w:val="0"/>
          <w:numId w:val="1"/>
        </w:numPr>
        <w:spacing w:after="60" w:line="300"/>
      </w:pPr>
      <w:r>
        <w:rPr>
          <w:rFonts w:ascii="Lexend" w:cs="Arial" w:eastAsia="Arial" w:hAnsi="Lexend"/>
          <w:color w:val="242730"/>
          <w:sz w:val="20"/>
          <w:szCs w:val="20"/>
        </w:rPr>
        <w:t xml:space="preserve">Certified Revenue Cycle Representative (CRCR) from HFMA.</w:t>
      </w:r>
    </w:p>
    <w:p>
      <w:pPr>
        <w:pStyle w:val="ListParagraph"/>
        <w:numPr>
          <w:ilvl w:val="0"/>
          <w:numId w:val="1"/>
        </w:numPr>
        <w:spacing w:after="60" w:line="300"/>
      </w:pPr>
      <w:r>
        <w:rPr>
          <w:rFonts w:ascii="Lexend" w:cs="Arial" w:eastAsia="Arial" w:hAnsi="Lexend"/>
          <w:color w:val="242730"/>
          <w:sz w:val="20"/>
          <w:szCs w:val="20"/>
        </w:rPr>
        <w:t xml:space="preserve">Coding knowledge or a coding certification.</w:t>
      </w:r>
    </w:p>
    <w:p>
      <w:pPr>
        <w:pStyle w:val="ListParagraph"/>
        <w:numPr>
          <w:ilvl w:val="0"/>
          <w:numId w:val="1"/>
        </w:numPr>
        <w:spacing w:after="60" w:line="300"/>
      </w:pPr>
      <w:r>
        <w:rPr>
          <w:rFonts w:ascii="Lexend" w:cs="Arial" w:eastAsia="Arial" w:hAnsi="Lexend"/>
          <w:color w:val="242730"/>
          <w:sz w:val="20"/>
          <w:szCs w:val="20"/>
        </w:rPr>
        <w:t xml:space="preserve">Experience with Medicare Advantage denials and payer contract terms.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and work at a computer and phone for most of the day.</w:t>
      </w:r>
    </w:p>
    <w:p>
      <w:pPr>
        <w:pStyle w:val="ListParagraph"/>
        <w:numPr>
          <w:ilvl w:val="0"/>
          <w:numId w:val="1"/>
        </w:numPr>
        <w:spacing w:after="60" w:line="300"/>
      </w:pPr>
      <w:r>
        <w:rPr>
          <w:rFonts w:ascii="Lexend" w:cs="Arial" w:eastAsia="Arial" w:hAnsi="Lexend"/>
          <w:color w:val="242730"/>
          <w:sz w:val="20"/>
          <w:szCs w:val="20"/>
        </w:rPr>
        <w:t xml:space="preserve">Use a keyboard and headset for long periods.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Monday through Friday: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w:t>
      </w:r>
      <w:r>
        <w:rPr>
          <w:rFonts w:ascii="Lexend" w:cs="Arial" w:eastAsia="Arial" w:hAnsi="Lexend"/>
          <w:color w:val="242730"/>
          <w:sz w:val="20"/>
          <w:szCs w:val="20"/>
          <w:highlight w:val="yellow"/>
        </w:rPr>
        <w:t xml:space="preserve">[hybrid or remote work after training, if you offer it]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Business office setting with steady phone and portal work.</w:t>
      </w:r>
    </w:p>
    <w:p>
      <w:pPr>
        <w:pStyle w:val="ListParagraph"/>
        <w:numPr>
          <w:ilvl w:val="0"/>
          <w:numId w:val="1"/>
        </w:numPr>
        <w:spacing w:after="60" w:line="300"/>
      </w:pPr>
      <w:r>
        <w:rPr>
          <w:rFonts w:ascii="Lexend" w:cs="Arial" w:eastAsia="Arial" w:hAnsi="Lexend"/>
          <w:color w:val="242730"/>
          <w:sz w:val="20"/>
          <w:szCs w:val="20"/>
        </w:rPr>
        <w:t xml:space="preserve">Busier weeks at month-end and when payer rules change.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revenue cycle specialist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hirebus.com/job-descriptions/hospitals/revenue-cycle-specialist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8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Revenue Cycle Specialist job description</dc:title>
  <dc:creator>HireBus</dc:creator>
  <dc:description>HireBus Role Blueprint: Revenue Cycle Specialist job description template for Hospitals.</dc:description>
  <cp:lastModifiedBy>Un-named</cp:lastModifiedBy>
  <cp:revision>1</cp:revision>
  <dcterms:created xsi:type="dcterms:W3CDTF">2026-10-20T17:07:32.971Z</dcterms:created>
  <dcterms:modified xsi:type="dcterms:W3CDTF">2026-10-20T17:07:32.971Z</dcterms:modified>
</cp:coreProperties>
</file>

<file path=docProps/custom.xml><?xml version="1.0" encoding="utf-8"?>
<Properties xmlns="http://schemas.openxmlformats.org/officeDocument/2006/custom-properties" xmlns:vt="http://schemas.openxmlformats.org/officeDocument/2006/docPropsVTypes"/>
</file>